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uppressAutoHyphens w:val="false"/>
        <w:spacing w:lineRule="auto" w:line="276" w:before="57" w:after="57"/>
        <w:ind w:hanging="0" w:left="0" w:right="0"/>
        <w:jc w:val="center"/>
        <w:rPr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center"/>
        <w:rPr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>REGISTRO DE PREÇOS – AQUISIÇÃO DE BRINQUEDOS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center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sz w:val="20"/>
          <w:szCs w:val="20"/>
        </w:rPr>
        <w:t>004376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/2024 de 11 de junho de 2024 (Secretaria Municipal de Assistência, Desenvolvimento Social e Família)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Registro de Preços para a aquisição de brinquedos</w:t>
      </w:r>
      <w:r>
        <w:rPr>
          <w:rFonts w:eastAsia="Arial" w:cs="Arial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para distribuição n</w:t>
      </w:r>
      <w:r>
        <w:rPr>
          <w:rFonts w:ascii="Verdana" w:hAnsi="Verdana"/>
          <w:iCs/>
          <w:sz w:val="20"/>
          <w:szCs w:val="20"/>
        </w:rPr>
        <w:t>os eventos organizados e executados pela Secretaria Municipal de Assistência, Desenvolvimento Social e Família, no ano de 2024 e 2025,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elacionados e especificados constantes neste TR e ETP, apêndice dos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tbl>
      <w:tblPr>
        <w:tblW w:w="923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50"/>
        <w:gridCol w:w="3967"/>
        <w:gridCol w:w="966"/>
        <w:gridCol w:w="1067"/>
        <w:gridCol w:w="1200"/>
        <w:gridCol w:w="1285"/>
      </w:tblGrid>
      <w:tr>
        <w:trPr>
          <w:trHeight w:val="269" w:hRule="atLeast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estimado unitário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estimado total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Fogão infantil (brinquedo)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Material: Plástico.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Tipo</w:t>
            </w:r>
            <w:r>
              <w:rPr>
                <w:rFonts w:ascii="Verdana" w:hAnsi="Verdana"/>
                <w:sz w:val="20"/>
                <w:szCs w:val="20"/>
              </w:rPr>
              <w:t>: fogão infantil cor: diversas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Dimensões</w:t>
            </w:r>
            <w:r>
              <w:rPr>
                <w:rFonts w:ascii="Verdana" w:hAnsi="Verdana"/>
                <w:sz w:val="20"/>
                <w:szCs w:val="20"/>
              </w:rPr>
              <w:t>: 35 x 23 x 9 cm.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Componentes</w:t>
            </w:r>
            <w:r>
              <w:rPr>
                <w:rFonts w:ascii="Verdana" w:hAnsi="Verdana"/>
                <w:sz w:val="20"/>
                <w:szCs w:val="20"/>
              </w:rPr>
              <w:t>: Grelhas, panela, frigideira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Características adicionais:</w:t>
            </w:r>
            <w:r>
              <w:rPr>
                <w:rFonts w:ascii="Verdana" w:hAnsi="Verdana"/>
                <w:sz w:val="20"/>
                <w:szCs w:val="20"/>
              </w:rPr>
              <w:t xml:space="preserve"> atóxico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Com embalagem para presente em celofane transparente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R$ 16,43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R$ 32.860,00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Bola de vinil marmorizada de 45 cm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Entregar inflada (cheia)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R$ 12,53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R$ 25.060,00</w:t>
            </w:r>
          </w:p>
        </w:tc>
      </w:tr>
      <w:tr>
        <w:trPr>
          <w:trHeight w:val="344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Carrinho de brinquedo em plástico</w:t>
            </w:r>
            <w:r>
              <w:rPr>
                <w:rFonts w:ascii="Verdana" w:hAnsi="Verdana"/>
                <w:sz w:val="20"/>
                <w:szCs w:val="20"/>
              </w:rPr>
              <w:t>, brinquedo em geral.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Material</w:t>
            </w:r>
            <w:r>
              <w:rPr>
                <w:rFonts w:ascii="Verdana" w:hAnsi="Verdana"/>
                <w:sz w:val="20"/>
                <w:szCs w:val="20"/>
              </w:rPr>
              <w:t>: plástico.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Tipo</w:t>
            </w:r>
            <w:r>
              <w:rPr>
                <w:rFonts w:ascii="Verdana" w:hAnsi="Verdana"/>
                <w:sz w:val="20"/>
                <w:szCs w:val="20"/>
              </w:rPr>
              <w:t>: Caminhão caçamba cor: multicolor.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Dimensões</w:t>
            </w:r>
            <w:r>
              <w:rPr>
                <w:rFonts w:ascii="Verdana" w:hAnsi="Verdana"/>
                <w:sz w:val="20"/>
                <w:szCs w:val="20"/>
              </w:rPr>
              <w:t>: 21 x 15 cm.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aracterísticas adicionais</w:t>
            </w:r>
            <w:r>
              <w:rPr>
                <w:rFonts w:ascii="Verdana" w:hAnsi="Verdana"/>
                <w:sz w:val="20"/>
                <w:szCs w:val="20"/>
              </w:rPr>
              <w:t>: modelo racer-truck.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Com embalagem para presente em celofane transparente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R$ 14,33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R$ 14.330,00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Jogo de boliche</w:t>
            </w:r>
            <w:r>
              <w:rPr>
                <w:rFonts w:ascii="Verdana" w:hAnsi="Verdana"/>
                <w:sz w:val="20"/>
                <w:szCs w:val="20"/>
              </w:rPr>
              <w:t xml:space="preserve"> brinquedo em geral.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Material</w:t>
            </w:r>
            <w:r>
              <w:rPr>
                <w:rFonts w:ascii="Verdana" w:hAnsi="Verdana"/>
                <w:sz w:val="20"/>
                <w:szCs w:val="20"/>
              </w:rPr>
              <w:t>: vinil tipo: jogo boliche.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Componentes</w:t>
            </w:r>
            <w:r>
              <w:rPr>
                <w:rFonts w:ascii="Verdana" w:hAnsi="Verdana"/>
                <w:sz w:val="20"/>
                <w:szCs w:val="20"/>
              </w:rPr>
              <w:t>: 6 pinos e 1 bola.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Características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adicionais</w:t>
            </w:r>
            <w:r>
              <w:rPr>
                <w:rFonts w:ascii="Verdana" w:hAnsi="Verdana"/>
                <w:sz w:val="20"/>
                <w:szCs w:val="20"/>
              </w:rPr>
              <w:t>: atóxico e lavável.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Com embalagem para presente em celofane transparente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R$ 16,27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R$ 16.270,00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Jogo de tabuleiro jogo / brinquedo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Pedagógico tipo:</w:t>
            </w:r>
            <w:r>
              <w:rPr>
                <w:rFonts w:ascii="Verdana" w:hAnsi="Verdana"/>
                <w:sz w:val="20"/>
                <w:szCs w:val="20"/>
              </w:rPr>
              <w:t xml:space="preserve"> jogo de tabuleiro 5 em 1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Material</w:t>
            </w:r>
            <w:r>
              <w:rPr>
                <w:rFonts w:ascii="Verdana" w:hAnsi="Verdana"/>
                <w:sz w:val="20"/>
                <w:szCs w:val="20"/>
              </w:rPr>
              <w:t>: MDF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Características adicionais:</w:t>
            </w:r>
            <w:r>
              <w:rPr>
                <w:rFonts w:ascii="Verdana" w:hAnsi="Verdana"/>
                <w:sz w:val="20"/>
                <w:szCs w:val="20"/>
              </w:rPr>
              <w:t xml:space="preserve"> Dama, trilha, ludo, jogo da velha e xadrez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Outros componentes:</w:t>
            </w:r>
            <w:r>
              <w:rPr>
                <w:rFonts w:ascii="Verdana" w:hAnsi="Verdana"/>
                <w:sz w:val="20"/>
                <w:szCs w:val="20"/>
              </w:rPr>
              <w:t xml:space="preserve"> peças plásticas.</w:t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Com embalagem para presente em celofane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R$ 44,31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R$ 44.310,00</w:t>
            </w:r>
          </w:p>
        </w:tc>
      </w:tr>
      <w:tr>
        <w:trPr>
          <w:trHeight w:val="206" w:hRule="atLeast"/>
        </w:trPr>
        <w:tc>
          <w:tcPr>
            <w:tcW w:w="923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VALOR ESTIMADO TOTAL: R$ 132.830,00 (cento e trinta e dois mil oitocentos e trinta reais)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bookmarkStart w:id="0" w:name="art23§711"/>
      <w:r>
        <w:rPr>
          <w:rFonts w:ascii="Verdana" w:hAnsi="Verdana"/>
          <w:b w:val="false"/>
          <w:bCs w:val="false"/>
          <w:iCs/>
          <w:sz w:val="20"/>
          <w:szCs w:val="20"/>
        </w:rPr>
        <w:t>. Os brinquedos propostos deverão, obrigatoriamente, atender as exigências de qualidade, observados os padrões e normas baixadas pelos órgãos competentes de controle e fiscalização de qualidade industrial ou equiparadas.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O prazo de vigência da Ata de Registro de Preços será de 12 (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meses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) contados a partir da publicação.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  <w:shd w:fill="auto" w:val="clear"/>
        </w:rPr>
        <w:t xml:space="preserve">1.4. O objeto da contratação será composto por 05 itens, de preço total estimado orçado pela administração. Para fins de classificação, será considerado o menor preço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  <w:shd w:fill="auto" w:val="clear"/>
        </w:rPr>
        <w:t>. Compete à administração buscar o menor dispêndio possível de recursos, assegurando a qualidade da aquisição,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1.5. O custo estimado total da aquisição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R$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132.830,00 (cento e trinta e dois mil oitocentos e trinta reais)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conforme custos unitários apostos nos orçamentos e no quadro comparativo de preços simples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1.6. A aquisição t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</w:rPr>
        <w:t xml:space="preserve">rata-se de bens comuns a serem adquiridos mediante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kern w:val="0"/>
          <w:sz w:val="20"/>
          <w:szCs w:val="20"/>
          <w:lang w:val="pt-BR" w:eastAsia="pt-BR" w:bidi="ar-SA"/>
        </w:rPr>
        <w:t>registro de preços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</w:rPr>
        <w:t>.</w:t>
      </w:r>
    </w:p>
    <w:p>
      <w:pPr>
        <w:pStyle w:val="Nivel1"/>
        <w:spacing w:lineRule="auto" w:line="276" w:before="57" w:after="57"/>
        <w:ind w:hanging="0" w:left="0" w:right="0"/>
        <w:rPr>
          <w:sz w:val="20"/>
          <w:szCs w:val="20"/>
        </w:rPr>
      </w:pPr>
      <w:bookmarkStart w:id="1" w:name="art23§7"/>
      <w:bookmarkStart w:id="2" w:name="art23§71"/>
      <w:bookmarkStart w:id="3" w:name="art23§72"/>
      <w:bookmarkStart w:id="4" w:name="art23§73"/>
      <w:bookmarkEnd w:id="1"/>
      <w:bookmarkEnd w:id="2"/>
      <w:bookmarkEnd w:id="3"/>
      <w:bookmarkEnd w:id="4"/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2.1. O registro de preços visa otimizar a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de brinquedos para os eventos organizados e executados pela Secretaria de Assistência Social no ano de 2024 e 2025.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2.2. Em eventos já consolidados pela Secretaria de Assistência Social, como “Sorriso de criança” e “Natal Encantado” dentre outros com público beneficiário da Política de Assistência Social e tantos outros eventos realizados no decorrer do ano, são utilizados esse serviço para proporcionar momentos de integração, interação e diversão dos participantes.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3. DESCRIÇÃO DA SOLUÇÃO COMO UM TODO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3.1 A solução a ser adotada consiste no registro de brinquedos para os eventos organizados e executados pela Secretaria Municipal de Assistência Social.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3.2.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067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1"/>
        <w:gridCol w:w="8435"/>
      </w:tblGrid>
      <w:tr>
        <w:trPr/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8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Logística de entrega dentro do prazo estabelecido;</w:t>
            </w:r>
          </w:p>
        </w:tc>
      </w:tr>
      <w:tr>
        <w:trPr/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8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brinquedos embalados, conforme solicitado;</w:t>
            </w:r>
          </w:p>
        </w:tc>
      </w:tr>
      <w:tr>
        <w:trPr/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8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produtos em perfeito estado, sem defeito;</w:t>
            </w:r>
          </w:p>
        </w:tc>
      </w:tr>
      <w:tr>
        <w:trPr/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8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both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Verificar e providenciar mão de obra necessária à entrega e embalagem dos produtos.</w:t>
            </w:r>
          </w:p>
        </w:tc>
      </w:tr>
    </w:tbl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3.3. Os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serão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conforme cronograma/demanda apresentado pela secretaria requisitante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de acordo com a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necessidade;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3.5. </w:t>
      </w: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Em caso de defeito nos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, a empresa arcará com todas as responsabilidades, para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substituição</w:t>
      </w: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, visto que é de sua total responsabilidade a qualidade dos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entregues</w:t>
      </w: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>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3.6.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4. RESULTADOS PRETENDIDOS COM A CONTRATAÇÃO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u w:val="none"/>
          <w:lang w:val="pt-BR" w:eastAsia="pt-BR" w:bidi="ar-SA"/>
        </w:rPr>
        <w:t>4.1 Os resultados pretendidos com a aquisição tem como garantir a plena participação da comunidade local nos eventos realizados pela Secretaria de Assistência Social. Proporcionar ambiente saudável de lazer para crianças e adolescentes em situação de vulnerabilidade, ou não. Garantir desenvolvimento e fortalecimento dos vínculos familiares e comunitários.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Times New Roman"/>
          <w:b w:val="false"/>
          <w:bCs w:val="false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5. REQUISITOS DA AQUISIÇÃO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5.1. Na aquisição dos produtos, a CONTRATADA deve: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a) Zelar pela integridade física das dos brinquedos.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b) Manter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brinquedos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bom estado de uso, sem danos que possam comprometer sua funcionalidade ou ocasionar algum tipo de acidente.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c) Fornecer os materiais de consumo e mão de obra necessários à execução completa da entrega.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d) Fornecer transporte, logística e tudo o mais que for necessário para disponibilizar o objeto da contratação, a fim de assegurar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devendo, obrigatoriamente, a CONTRATADA incluir no preço do serviço os correspondentes custos.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e)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Entregar todos os brinquedos em embalagem para presente, conforme descrito na solicitação de compras, exceto a bola, que deverá ser entregue inflada (cheia)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5.2. Da qualificação técnica.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5.2.1.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5.2.2. Registro da pessoa jurídica (CONTRATADA) nos órgãos competentes e Conselho Regional da classe, se for o caso.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ivel1"/>
        <w:suppressAutoHyphens w:val="true"/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  <w:shd w:fill="auto" w:val="clear"/>
        </w:rPr>
        <w:t>6. ENTREGA E CRITÉRIOS DE ACEITAÇÃO DO OBJETO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O fornecedor deverá entregar os brinquedos no prazo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shd w:fill="auto" w:val="clear"/>
        </w:rPr>
        <w:t xml:space="preserve">estipulado,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shd w:fill="auto" w:val="clear"/>
          <w:lang w:eastAsia="zh-CN"/>
        </w:rPr>
        <w:t>de até 10 (dez) dias corridos para a entrega, a partir do recebimento da Ordem de Fornecimento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emitida pelo Departamento de Compras.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A entrega será no Departamento de Almoxarifado Central, localizado na Praça Vicente Glazar, 159, Bairro Glória, São Gabriel da Palha/ES.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bookmarkStart w:id="5" w:name="page66R_mcid16"/>
      <w:bookmarkEnd w:id="5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Cep.: 29780-000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Telefone. (27)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99975-6571-99991-3498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E-mail. </w:t>
      </w:r>
      <w:r>
        <w:rPr>
          <w:rStyle w:val="Hyperlink"/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assistenciasgp@gmail.com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Responsável: Secretaria Municipal de Assistência, Desenvolvimento Social e Família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O prazo de validade na data da entrega não poderá ser inferior à metade do prazo total recomendado pelo fabricante.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6.4. 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Os brinquedos serão recebidos provisoriamente no prazo de 02 (dois) dias, pelo (a) responsável pelo acompanhamento e fiscalização da ata de registro de preços, para efeito de posterior verificação de sua conformidade com as especificações constantes neste Termo de Referência e na proposta.</w:t>
      </w:r>
      <w:r>
        <w:rPr>
          <w:rFonts w:ascii="Verdana" w:hAnsi="Verdana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6.5. Os brinquedos poderão ser rejeitados, no todo ou em parte, quando em desacordo com as especificações constantes neste Termo de Referência e na proposta, devendo ser substituídos no prazo de 24h (vinte e quatro horas), a contar da notificação da contratada, às suas custas, sem prejuízo da aplicação das penalidades.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6.6.</w:t>
      </w:r>
      <w:bookmarkStart w:id="6" w:name="page68R_mcid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O recebimento provisório ou definitivo do objeto não exclui a responsabilidade da con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tratada pelos prejuízos resultantes da incorreta execução da aquisição.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</w:t>
      </w:r>
      <w:bookmarkStart w:id="7" w:name="page68R_mcid7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bem como por qualquer dano causado a terceiros em decorrência de ato da Contratada, de seus empregados, prepostos ou subordinados.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bookmarkStart w:id="8" w:name="page68R_mcid17"/>
      <w:bookmarkStart w:id="9" w:name="page68R_mcid7"/>
      <w:bookmarkEnd w:id="8"/>
      <w:bookmarkEnd w:id="9"/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8.9.Durante a execução da ata de registro de preços, 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deverá: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secretaria e seus equipamentos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os 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bookmarkStart w:id="10" w:name="page70R_mcid10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bookmarkStart w:id="11" w:name="_GoBack111"/>
      <w:bookmarkEnd w:id="11"/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por servidor do Departamento de Almoxarifado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28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28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28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28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10.3. Para fins de liquidação, o setor competente deverá verificar se a nota fiscal ou instrume</w:t>
      </w:r>
      <w:r>
        <w:rPr>
          <w:rFonts w:ascii="Verdana" w:hAnsi="Verdana"/>
          <w:sz w:val="20"/>
          <w:szCs w:val="20"/>
        </w:rPr>
        <w:t xml:space="preserve">nto de cobrança equivalente apresentado expressa os elementos necessários e essenciais do documento, tais como: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O prazo de validade;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data da emissão;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Os dados do contrato e do órgão contratante;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período respectivo de execução do contrato;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valor a pagar; e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29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10.11.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10.12. </w:t>
      </w:r>
      <w:r>
        <w:rPr>
          <w:rFonts w:ascii="Verdana" w:hAnsi="Verdana"/>
          <w:sz w:val="20"/>
          <w:szCs w:val="20"/>
        </w:rPr>
        <w:t>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10.15. </w:t>
      </w:r>
      <w:r>
        <w:rPr>
          <w:rFonts w:cs="Arial" w:ascii="Verdana" w:hAnsi="Verdana"/>
          <w:sz w:val="20"/>
          <w:szCs w:val="20"/>
        </w:rPr>
        <w:t xml:space="preserve">Para a efetivação do pagamento, a CONTRATADA deverá manter as mesmas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sz w:val="20"/>
          <w:szCs w:val="20"/>
        </w:rPr>
        <w:t>. DAS SANÇÕES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</w:t>
      </w:r>
      <w:r>
        <w:rPr>
          <w:rFonts w:ascii="Verdana" w:hAnsi="Verdana"/>
          <w:iCs/>
          <w:sz w:val="20"/>
          <w:szCs w:val="20"/>
        </w:rPr>
        <w:t>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</w:t>
      </w:r>
      <w:r>
        <w:rPr>
          <w:rFonts w:ascii="Verdana" w:hAnsi="Verdana"/>
          <w:iCs/>
          <w:sz w:val="20"/>
          <w:szCs w:val="20"/>
        </w:rPr>
        <w:t xml:space="preserve"> ficará sujeito, sem prejuízo da responsabilidade civil e criminal, às seguintes sanções: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</w:r>
      <w:r>
        <w:rPr>
          <w:rFonts w:ascii="Verdana" w:hAnsi="Verdana"/>
          <w:b/>
          <w:bCs/>
          <w:iCs/>
          <w:sz w:val="20"/>
          <w:szCs w:val="20"/>
        </w:rPr>
        <w:t>a)</w:t>
      </w:r>
      <w:r>
        <w:rPr>
          <w:rFonts w:ascii="Verdana" w:hAnsi="Verdana"/>
          <w:iCs/>
          <w:sz w:val="20"/>
          <w:szCs w:val="20"/>
        </w:rPr>
        <w:t xml:space="preserve"> Advertência pela falta do subitem 11.1.1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</w:r>
      <w:r>
        <w:rPr>
          <w:rFonts w:ascii="Verdana" w:hAnsi="Verdana"/>
          <w:b/>
          <w:bCs/>
          <w:iCs/>
          <w:sz w:val="20"/>
          <w:szCs w:val="20"/>
        </w:rPr>
        <w:t>b)</w:t>
      </w:r>
      <w:r>
        <w:rPr>
          <w:rFonts w:ascii="Verdana" w:hAnsi="Verdana"/>
          <w:iCs/>
          <w:sz w:val="20"/>
          <w:szCs w:val="20"/>
        </w:rPr>
        <w:t xml:space="preserve">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ab/>
      </w:r>
      <w:r>
        <w:rPr>
          <w:rFonts w:ascii="Verdana" w:hAnsi="Verdana"/>
          <w:b/>
          <w:bCs/>
          <w:iCs/>
          <w:sz w:val="20"/>
          <w:szCs w:val="20"/>
        </w:rPr>
        <w:t>b.1)</w:t>
      </w:r>
      <w:r>
        <w:rPr>
          <w:rFonts w:ascii="Verdana" w:hAnsi="Verdana"/>
          <w:iCs/>
          <w:sz w:val="20"/>
          <w:szCs w:val="20"/>
        </w:rPr>
        <w:t xml:space="preserve">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ab/>
      </w:r>
      <w:r>
        <w:rPr>
          <w:rFonts w:ascii="Verdana" w:hAnsi="Verdana"/>
          <w:b/>
          <w:bCs/>
          <w:iCs/>
          <w:sz w:val="20"/>
          <w:szCs w:val="20"/>
        </w:rPr>
        <w:t>b.2)</w:t>
      </w:r>
      <w:r>
        <w:rPr>
          <w:rFonts w:ascii="Verdana" w:hAnsi="Verdana"/>
          <w:iCs/>
          <w:sz w:val="20"/>
          <w:szCs w:val="20"/>
        </w:rPr>
        <w:t xml:space="preserve"> A multa pode ser aplicada isoladamente ou juntamente com as penalidades definidas nos itens “c” e “d” abaixo: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</w:r>
      <w:r>
        <w:rPr>
          <w:rFonts w:ascii="Verdana" w:hAnsi="Verdana"/>
          <w:b/>
          <w:bCs/>
          <w:iCs/>
          <w:sz w:val="20"/>
          <w:szCs w:val="20"/>
        </w:rPr>
        <w:t>c)</w:t>
      </w:r>
      <w:r>
        <w:rPr>
          <w:rFonts w:ascii="Verdana" w:hAnsi="Verdana"/>
          <w:iCs/>
          <w:sz w:val="20"/>
          <w:szCs w:val="20"/>
        </w:rPr>
        <w:t xml:space="preserve">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</w:r>
      <w:r>
        <w:rPr>
          <w:rFonts w:ascii="Verdana" w:hAnsi="Verdana"/>
          <w:b/>
          <w:bCs/>
          <w:iCs/>
          <w:sz w:val="20"/>
          <w:szCs w:val="20"/>
        </w:rPr>
        <w:t>d)</w:t>
      </w:r>
      <w:r>
        <w:rPr>
          <w:rFonts w:ascii="Verdana" w:hAnsi="Verdana"/>
          <w:iCs/>
          <w:sz w:val="20"/>
          <w:szCs w:val="20"/>
        </w:rPr>
        <w:t xml:space="preserve">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.3.5. </w:t>
      </w:r>
      <w:r>
        <w:rPr>
          <w:rFonts w:ascii="Verdana" w:hAnsi="Verdana"/>
          <w:iCs/>
          <w:sz w:val="20"/>
          <w:szCs w:val="20"/>
        </w:rPr>
        <w:t>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>11.5. A aplicação de qualquer das penalidades previstas realizar-se-á em processo administra</w:t>
      </w:r>
      <w:r>
        <w:rPr>
          <w:rFonts w:ascii="Verdana" w:hAnsi="Verdana"/>
          <w:iCs/>
          <w:sz w:val="20"/>
          <w:szCs w:val="20"/>
          <w:lang w:eastAsia="en-US"/>
        </w:rPr>
        <w:t>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ListLabel30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ListLabel30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ListLabel31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ListLabel3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</w:t>
      </w:r>
      <w:r>
        <w:rPr>
          <w:rFonts w:cs="Verdana" w:ascii="Verdana" w:hAnsi="Verdana"/>
          <w:color w:val="000000"/>
          <w:sz w:val="20"/>
          <w:szCs w:val="20"/>
        </w:rPr>
        <w:t xml:space="preserve">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12.1.3. 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 Hav</w:t>
      </w:r>
      <w:r>
        <w:rPr>
          <w:rFonts w:cs="Verdana" w:ascii="Verdana" w:hAnsi="Verdana"/>
          <w:color w:val="000000"/>
          <w:sz w:val="20"/>
          <w:szCs w:val="20"/>
        </w:rPr>
        <w:t>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Ressalv</w:t>
      </w:r>
      <w:r>
        <w:rPr>
          <w:rFonts w:cs="Verdana" w:ascii="Verdana" w:hAnsi="Verdana"/>
          <w:sz w:val="20"/>
          <w:szCs w:val="20"/>
        </w:rPr>
        <w:t>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ListLabel33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12.8.6 No caso de cooperativa: ata de fundação e estatuto social em vigor, com a ata da assembleia que o aprovou, devidamente arquivado na Junta Comercial ou inscrito no Registro Civil das Pessoas Jurídicas da respectiva sede, bem como o registro de que trata o art. 107 da </w:t>
      </w:r>
      <w:r>
        <w:rPr>
          <w:rFonts w:cs="Verdana" w:ascii="Verdana" w:hAnsi="Verdana"/>
          <w:bCs/>
          <w:color w:val="000000"/>
          <w:sz w:val="20"/>
          <w:szCs w:val="20"/>
        </w:rPr>
        <w:t>Lei nº 5.764, de 1971;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 caso de empresa ou sociedade estrangeira em funcionamento no País: decreto de autorização;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12.8.8 </w:t>
      </w:r>
      <w:r>
        <w:rPr>
          <w:rFonts w:cs="Verdana" w:ascii="Verdana" w:hAnsi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</w:t>
      </w:r>
      <w:r>
        <w:rPr>
          <w:rFonts w:cs="Verdana" w:ascii="Verdana" w:hAnsi="Verdana"/>
          <w:color w:val="000000"/>
          <w:sz w:val="20"/>
          <w:szCs w:val="20"/>
          <w:lang w:eastAsia="en-US" w:bidi="pt-BR"/>
        </w:rPr>
        <w:t xml:space="preserve">vencedor do menor preço seja qualificado como microempresa ou empresa de pequeno porte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12.10 Qualificação Econômico-Financeira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12.10.3 P</w:t>
      </w:r>
      <w:r>
        <w:rPr>
          <w:rFonts w:cs="Verdana" w:ascii="Verdana" w:hAnsi="Verdana"/>
          <w:sz w:val="20"/>
          <w:szCs w:val="20"/>
        </w:rPr>
        <w:t xml:space="preserve">ara a contagem do prazo estabelecido na letra </w:t>
      </w:r>
      <w:r>
        <w:rPr>
          <w:rFonts w:cs="Verdana" w:ascii="Verdana" w:hAnsi="Verdana"/>
          <w:b/>
          <w:sz w:val="20"/>
          <w:szCs w:val="20"/>
        </w:rPr>
        <w:t>“a”</w:t>
      </w:r>
      <w:r>
        <w:rPr>
          <w:rFonts w:cs="Verdana" w:ascii="Verdana" w:hAnsi="Verdana"/>
          <w:sz w:val="20"/>
          <w:szCs w:val="20"/>
        </w:rPr>
        <w:t xml:space="preserve">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12.10.4 As em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13. ADEQUAÇÃO ORÇAMENTÁRIA 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13.1. As despesas decorrentes da presente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aquisição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correrão à conta de recursos específi</w:t>
      </w:r>
      <w:r>
        <w:rPr>
          <w:rFonts w:ascii="Verdana" w:hAnsi="Verdana"/>
          <w:sz w:val="20"/>
          <w:szCs w:val="20"/>
        </w:rPr>
        <w:t xml:space="preserve">cos consignados no Lei Orçamentária Anual, bem como requisição do sistema presente nos autos, sendo que a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será atendida pelas seguintes dotações: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00" w:leader="none"/>
          <w:tab w:val="left" w:pos="967" w:leader="none"/>
        </w:tabs>
        <w:suppressAutoHyphens w:val="true"/>
        <w:bidi w:val="0"/>
        <w:spacing w:lineRule="auto" w:line="276" w:before="57" w:after="57"/>
        <w:ind w:firstLine="624" w:left="0" w:right="0"/>
        <w:jc w:val="both"/>
        <w:rPr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FICHA – FONTE: 00</w:t>
      </w:r>
      <w:r>
        <w:rPr>
          <w:rFonts w:eastAsia="Times New Roman" w:cs="Arial" w:ascii="Verdana" w:hAnsi="Verdana"/>
          <w:sz w:val="20"/>
          <w:szCs w:val="20"/>
        </w:rPr>
        <w:t>419-2660000000006 o valor de R$ 132.830,00 (cento e trinta e dois mil oitocentos e trinta reais).</w:t>
      </w:r>
    </w:p>
    <w:p>
      <w:pPr>
        <w:pStyle w:val="Normal"/>
        <w:numPr>
          <w:ilvl w:val="0"/>
          <w:numId w:val="0"/>
        </w:numPr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14. DOS RESPONSÁVEIS PELA ELABORAÇÃO DO TERMO DE REFERÊNCIA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14.1.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sz w:val="20"/>
          <w:szCs w:val="20"/>
        </w:rPr>
      </w:pPr>
      <w:bookmarkStart w:id="12" w:name="_GoBack31"/>
      <w:bookmarkEnd w:id="12"/>
      <w:r>
        <w:rPr>
          <w:rFonts w:ascii="Verdana" w:hAnsi="Verdana"/>
          <w:sz w:val="20"/>
          <w:szCs w:val="20"/>
        </w:rPr>
        <w:t>São Gabriel da Palha, 20 de junho de 2024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RODOLFO ANTÔNIO DA SILVA NETO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Auxiliar Administrativo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Mat. nº 000406</w:t>
      </w:r>
      <w:bookmarkEnd w:id="0"/>
      <w:bookmarkEnd w:id="6"/>
      <w:bookmarkEnd w:id="7"/>
      <w:bookmarkEnd w:id="10"/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RUTH BARBARA DA SILWA NASCIMENTO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tabs>
          <w:tab w:val="clear" w:pos="708"/>
          <w:tab w:val="left" w:pos="300" w:leader="none"/>
        </w:tabs>
        <w:spacing w:lineRule="auto" w:line="276" w:before="57" w:after="57"/>
        <w:ind w:hanging="0" w:left="0" w:right="0"/>
        <w:jc w:val="both"/>
        <w:rPr/>
      </w:pPr>
      <w:hyperlink r:id="rId8">
        <w:bookmarkStart w:id="13" w:name="page66R_mcid01"/>
        <w:bookmarkStart w:id="14" w:name="_GoBack3"/>
        <w:bookmarkEnd w:id="13"/>
        <w:bookmarkEnd w:id="14"/>
        <w:r>
          <w:rPr>
            <w:rStyle w:val="ListLabel34"/>
            <w:rFonts w:eastAsia="Times New Roman" w:cs="Arial" w:ascii="Verdana" w:hAnsi="Verdana"/>
            <w:b w:val="false"/>
            <w:bCs w:val="false"/>
            <w:sz w:val="20"/>
            <w:szCs w:val="20"/>
            <w:u w:val="none"/>
          </w:rPr>
          <w:t>Mat. nº 002983</w:t>
        </w:r>
      </w:hyperlink>
    </w:p>
    <w:sectPr>
      <w:headerReference w:type="default" r:id="rId9"/>
      <w:footerReference w:type="default" r:id="rId10"/>
      <w:type w:val="nextPage"/>
      <w:pgSz w:w="11906" w:h="16838"/>
      <w:pgMar w:left="1701" w:right="1134" w:gutter="0" w:header="227" w:top="851" w:footer="283" w:bottom="56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Hyperlink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Scayt-misspell-word">
    <w:name w:val="scayt-misspell-word"/>
    <w:qFormat/>
    <w:rPr/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01Char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Nivel01Char1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hanging="0" w:left="72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365F91"/>
      <w:sz w:val="20"/>
      <w:szCs w:val="20"/>
    </w:rPr>
  </w:style>
  <w:style w:type="paragraph" w:styleId="Nivel01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0"/>
      <w:b/>
      <w:bCs/>
      <w:color w:val="auto"/>
      <w:kern w:val="0"/>
      <w:sz w:val="20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cs="Times New Roman"/>
    </w:rPr>
  </w:style>
  <w:style w:type="paragraph" w:styleId="Contedodatabela">
    <w:name w:val="Conteúdo da tabela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yperlink" Target="https://www.planalto.gov.br/ccivil_03/leis/lcp/lcp123.ht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Application>LibreOffice/7.6.7.2$Windows_X86_64 LibreOffice_project/dd47e4b30cb7dab30588d6c79c651f218165e3c5</Application>
  <AppVersion>15.0000</AppVersion>
  <Pages>11</Pages>
  <Words>4270</Words>
  <Characters>24665</Characters>
  <CharactersWithSpaces>28731</CharactersWithSpaces>
  <Paragraphs>250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2024-07-08T16:26:26Z</cp:lastPrinted>
  <dcterms:modified xsi:type="dcterms:W3CDTF">2024-07-08T17:46:26Z</dcterms:modified>
  <cp:revision>156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